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68" w:tblpY="-10"/>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1"/>
        <w:gridCol w:w="6237"/>
      </w:tblGrid>
      <w:tr w:rsidR="007D252A" w:rsidRPr="00F52595" w:rsidTr="00AF61A7">
        <w:trPr>
          <w:trHeight w:val="1020"/>
        </w:trPr>
        <w:tc>
          <w:tcPr>
            <w:tcW w:w="5211" w:type="dxa"/>
          </w:tcPr>
          <w:p w:rsidR="007D252A" w:rsidRPr="00AF61A7" w:rsidRDefault="007D252A" w:rsidP="00167D60">
            <w:pPr>
              <w:tabs>
                <w:tab w:val="left" w:pos="3255"/>
              </w:tabs>
              <w:spacing w:before="240"/>
              <w:outlineLvl w:val="2"/>
              <w:rPr>
                <w:rFonts w:ascii="Times New Roman" w:eastAsia="Times New Roman" w:hAnsi="Times New Roman" w:cs="Times New Roman"/>
                <w:bCs/>
                <w:color w:val="365F91" w:themeColor="accent1" w:themeShade="BF"/>
                <w:lang w:val="en-US" w:eastAsia="ru-RU"/>
              </w:rPr>
            </w:pPr>
            <w:r w:rsidRPr="00AF61A7">
              <w:rPr>
                <w:rFonts w:ascii="Times New Roman" w:eastAsia="Times New Roman" w:hAnsi="Times New Roman" w:cs="Times New Roman"/>
                <w:bCs/>
                <w:color w:val="365F91" w:themeColor="accent1" w:themeShade="BF"/>
                <w:lang w:eastAsia="ru-RU"/>
              </w:rPr>
              <w:t>Оригина</w:t>
            </w:r>
            <w:r w:rsidR="00212742" w:rsidRPr="00AF61A7">
              <w:rPr>
                <w:rFonts w:ascii="Times New Roman" w:eastAsia="Times New Roman" w:hAnsi="Times New Roman" w:cs="Times New Roman"/>
                <w:bCs/>
                <w:color w:val="365F91" w:themeColor="accent1" w:themeShade="BF"/>
                <w:lang w:eastAsia="ru-RU"/>
              </w:rPr>
              <w:t>л</w:t>
            </w:r>
            <w:r w:rsidR="00212742" w:rsidRPr="00AF61A7">
              <w:rPr>
                <w:rFonts w:ascii="Times New Roman" w:eastAsia="Times New Roman" w:hAnsi="Times New Roman" w:cs="Times New Roman"/>
                <w:bCs/>
                <w:color w:val="365F91" w:themeColor="accent1" w:themeShade="BF"/>
                <w:lang w:val="en-US" w:eastAsia="ru-RU"/>
              </w:rPr>
              <w:t xml:space="preserve">. </w:t>
            </w:r>
            <w:hyperlink r:id="rId6" w:history="1">
              <w:r w:rsidRPr="00AF61A7">
                <w:rPr>
                  <w:rStyle w:val="a7"/>
                  <w:rFonts w:ascii="Times New Roman" w:eastAsia="Times New Roman" w:hAnsi="Times New Roman" w:cs="Times New Roman"/>
                  <w:bCs/>
                  <w:color w:val="365F91" w:themeColor="accent1" w:themeShade="BF"/>
                  <w:lang w:val="en-US" w:eastAsia="ru-RU"/>
                </w:rPr>
                <w:t>www.bankaustria.at</w:t>
              </w:r>
            </w:hyperlink>
            <w:r w:rsidRPr="00AF61A7">
              <w:rPr>
                <w:rFonts w:ascii="Times New Roman" w:eastAsia="Times New Roman" w:hAnsi="Times New Roman" w:cs="Times New Roman"/>
                <w:bCs/>
                <w:color w:val="365F91" w:themeColor="accent1" w:themeShade="BF"/>
                <w:lang w:val="en-US" w:eastAsia="ru-RU"/>
              </w:rPr>
              <w:t xml:space="preserve"> </w:t>
            </w:r>
          </w:p>
          <w:p w:rsidR="007D252A" w:rsidRPr="00AF61A7" w:rsidRDefault="007D252A" w:rsidP="00167D60">
            <w:pPr>
              <w:pStyle w:val="2"/>
              <w:spacing w:before="240" w:after="200"/>
              <w:rPr>
                <w:rFonts w:ascii="Times New Roman" w:hAnsi="Times New Roman" w:cs="Times New Roman"/>
                <w:color w:val="365F91" w:themeColor="accent1" w:themeShade="BF"/>
                <w:sz w:val="22"/>
                <w:szCs w:val="22"/>
                <w:lang w:val="en-US"/>
              </w:rPr>
            </w:pPr>
            <w:r w:rsidRPr="00AF61A7">
              <w:rPr>
                <w:rFonts w:ascii="Times New Roman" w:hAnsi="Times New Roman" w:cs="Times New Roman"/>
                <w:color w:val="365F91" w:themeColor="accent1" w:themeShade="BF"/>
                <w:sz w:val="22"/>
                <w:szCs w:val="22"/>
                <w:lang w:val="en-US"/>
              </w:rPr>
              <w:t>Bank Austria: Number one in Austria and Central and Eastern Europe</w:t>
            </w:r>
          </w:p>
          <w:p w:rsidR="007D252A" w:rsidRPr="00AF61A7" w:rsidRDefault="007D252A" w:rsidP="00AF61A7">
            <w:pPr>
              <w:jc w:val="both"/>
              <w:rPr>
                <w:rFonts w:ascii="Times New Roman" w:eastAsia="Times New Roman" w:hAnsi="Times New Roman" w:cs="Times New Roman"/>
                <w:color w:val="0D0D0D" w:themeColor="text1" w:themeTint="F2"/>
                <w:lang w:val="en-US" w:eastAsia="ru-RU"/>
              </w:rPr>
            </w:pPr>
            <w:r w:rsidRPr="00AF61A7">
              <w:rPr>
                <w:rFonts w:ascii="Times New Roman" w:eastAsia="Times New Roman" w:hAnsi="Times New Roman" w:cs="Times New Roman"/>
                <w:color w:val="0D0D0D" w:themeColor="text1" w:themeTint="F2"/>
                <w:lang w:val="en-US" w:eastAsia="ru-RU"/>
              </w:rPr>
              <w:t xml:space="preserve">Bank Austria has been a member of UniCredit, one of the largest European banking groups, since 2005. The bank has one of the strongest capital bases among the large banks in Austria. Its common equity Tier 1 ratio (based on all risks) stood at 11.0 per cent and its total capital ratio amounted to 13.8 per cent as of 30 June 2014. As of that date, Bank Austria had </w:t>
            </w:r>
            <w:r w:rsidR="00AF61A7" w:rsidRPr="00AF61A7">
              <w:rPr>
                <w:rFonts w:ascii="Times New Roman" w:eastAsia="Times New Roman" w:hAnsi="Times New Roman" w:cs="Times New Roman"/>
                <w:color w:val="0D0D0D" w:themeColor="text1" w:themeTint="F2"/>
                <w:lang w:val="en-US" w:eastAsia="ru-RU"/>
              </w:rPr>
              <w:t xml:space="preserve">total assets of €183.1 billion. </w:t>
            </w:r>
            <w:r w:rsidRPr="00AF61A7">
              <w:rPr>
                <w:rFonts w:ascii="Times New Roman" w:eastAsia="Times New Roman" w:hAnsi="Times New Roman" w:cs="Times New Roman"/>
                <w:color w:val="0D0D0D" w:themeColor="text1" w:themeTint="F2"/>
                <w:lang w:val="en-US" w:eastAsia="ru-RU"/>
              </w:rPr>
              <w:t>Bank Austria is constantly striving to maintain the highest level of customer satisfaction and it looks back on about 160 years of tradition and experience.</w:t>
            </w:r>
          </w:p>
          <w:p w:rsidR="007D252A" w:rsidRPr="00AF61A7" w:rsidRDefault="007D252A" w:rsidP="00AF61A7">
            <w:pPr>
              <w:jc w:val="both"/>
              <w:rPr>
                <w:rFonts w:ascii="Times New Roman" w:eastAsia="Times New Roman" w:hAnsi="Times New Roman" w:cs="Times New Roman"/>
                <w:color w:val="0D0D0D" w:themeColor="text1" w:themeTint="F2"/>
                <w:lang w:val="en-US" w:eastAsia="ru-RU"/>
              </w:rPr>
            </w:pPr>
            <w:r w:rsidRPr="00AF61A7">
              <w:rPr>
                <w:rFonts w:ascii="Times New Roman" w:eastAsia="Times New Roman" w:hAnsi="Times New Roman" w:cs="Times New Roman"/>
                <w:color w:val="0D0D0D" w:themeColor="text1" w:themeTint="F2"/>
                <w:lang w:val="en-US" w:eastAsia="ru-RU"/>
              </w:rPr>
              <w:t>The bank maintains an extensive network in Austria, with about 7,000 employees serving customers in some 250 branches. During the financial and economic crisis, Bank Austria demonstrated its financial strength: it was the only major bank in Austria that did not use state aid to strengthen its capital.</w:t>
            </w:r>
            <w:r w:rsidR="00AF61A7" w:rsidRPr="00AF61A7">
              <w:rPr>
                <w:rFonts w:ascii="Times New Roman" w:eastAsia="Times New Roman" w:hAnsi="Times New Roman" w:cs="Times New Roman"/>
                <w:color w:val="0D0D0D" w:themeColor="text1" w:themeTint="F2"/>
                <w:lang w:val="en-US" w:eastAsia="ru-RU"/>
              </w:rPr>
              <w:t xml:space="preserve"> </w:t>
            </w:r>
            <w:r w:rsidRPr="00AF61A7">
              <w:rPr>
                <w:rFonts w:ascii="Times New Roman" w:eastAsia="Times New Roman" w:hAnsi="Times New Roman" w:cs="Times New Roman"/>
                <w:color w:val="0D0D0D" w:themeColor="text1" w:themeTint="F2"/>
                <w:lang w:val="en-US" w:eastAsia="ru-RU"/>
              </w:rPr>
              <w:t>Bank Austria is a modern and dynamic universal bank offering its customers access to international financial markets. Bank Austria serves as UniCredit's hub for the banking network in Central and Eastern Europe, a region where the Group is the clear market leader with about 2,500 branches in 13 countries.</w:t>
            </w:r>
          </w:p>
          <w:p w:rsidR="00AF61A7" w:rsidRPr="00AF61A7" w:rsidRDefault="00AF61A7" w:rsidP="00AF61A7">
            <w:pPr>
              <w:pStyle w:val="2"/>
              <w:spacing w:before="0" w:after="200"/>
              <w:jc w:val="both"/>
              <w:rPr>
                <w:rFonts w:ascii="Times New Roman" w:hAnsi="Times New Roman" w:cs="Times New Roman"/>
                <w:sz w:val="22"/>
                <w:szCs w:val="22"/>
                <w:lang w:val="en-US"/>
              </w:rPr>
            </w:pPr>
            <w:r w:rsidRPr="00AF61A7">
              <w:rPr>
                <w:rFonts w:ascii="Times New Roman" w:hAnsi="Times New Roman" w:cs="Times New Roman"/>
                <w:sz w:val="22"/>
                <w:szCs w:val="22"/>
                <w:lang w:val="en-US"/>
              </w:rPr>
              <w:t>International Business</w:t>
            </w:r>
          </w:p>
          <w:p w:rsidR="00AF61A7" w:rsidRPr="00AF61A7" w:rsidRDefault="00AF61A7" w:rsidP="00AF61A7">
            <w:pPr>
              <w:jc w:val="both"/>
              <w:rPr>
                <w:rFonts w:ascii="Times New Roman" w:eastAsia="Times New Roman" w:hAnsi="Times New Roman" w:cs="Times New Roman"/>
                <w:color w:val="0D0D0D" w:themeColor="text1" w:themeTint="F2"/>
                <w:lang w:val="en-US" w:eastAsia="ru-RU"/>
              </w:rPr>
            </w:pPr>
            <w:r w:rsidRPr="00AF61A7">
              <w:rPr>
                <w:rFonts w:ascii="Times New Roman" w:eastAsia="Times New Roman" w:hAnsi="Times New Roman" w:cs="Times New Roman"/>
                <w:color w:val="0D0D0D" w:themeColor="text1" w:themeTint="F2"/>
                <w:lang w:val="en-US" w:eastAsia="ru-RU"/>
              </w:rPr>
              <w:t xml:space="preserve">Anyone wanting to be successful in business needs a partner that knows their way round financial labyrinths. Bank Austria is the leading bank in cross-border business transactions. Our customers benefit from our know-how, our innovative range of products and services as well as the densest banking network in Central and Eastern Europe. </w:t>
            </w:r>
            <w:r w:rsidRPr="00AF61A7">
              <w:rPr>
                <w:rFonts w:ascii="Times New Roman" w:eastAsia="Times New Roman" w:hAnsi="Times New Roman" w:cs="Times New Roman"/>
                <w:color w:val="0D0D0D" w:themeColor="text1" w:themeTint="F2"/>
                <w:lang w:val="en-US" w:eastAsia="ru-RU"/>
              </w:rPr>
              <w:t xml:space="preserve"> </w:t>
            </w:r>
            <w:r w:rsidRPr="00AF61A7">
              <w:rPr>
                <w:rFonts w:ascii="Times New Roman" w:eastAsia="Times New Roman" w:hAnsi="Times New Roman" w:cs="Times New Roman"/>
                <w:color w:val="0D0D0D" w:themeColor="text1" w:themeTint="F2"/>
                <w:lang w:val="en-US" w:eastAsia="ru-RU"/>
              </w:rPr>
              <w:t xml:space="preserve">At UniCredit we offer our customers the largest network in Europe with more than 8,950 branches in 17 countries. </w:t>
            </w:r>
          </w:p>
          <w:p w:rsidR="00AF61A7" w:rsidRPr="00AF61A7" w:rsidRDefault="00AF61A7" w:rsidP="00AF61A7">
            <w:pPr>
              <w:pStyle w:val="2"/>
              <w:spacing w:before="0" w:after="200"/>
              <w:jc w:val="both"/>
              <w:rPr>
                <w:rFonts w:ascii="Times New Roman" w:hAnsi="Times New Roman" w:cs="Times New Roman"/>
                <w:sz w:val="22"/>
                <w:szCs w:val="22"/>
                <w:lang w:val="en-US"/>
              </w:rPr>
            </w:pPr>
            <w:r w:rsidRPr="00AF61A7">
              <w:rPr>
                <w:rFonts w:ascii="Times New Roman" w:hAnsi="Times New Roman" w:cs="Times New Roman"/>
                <w:sz w:val="22"/>
                <w:szCs w:val="22"/>
                <w:lang w:val="en-US"/>
              </w:rPr>
              <w:t>Comprehensive service</w:t>
            </w:r>
          </w:p>
          <w:p w:rsidR="007D252A" w:rsidRPr="00AF61A7" w:rsidRDefault="00AF61A7" w:rsidP="00AF61A7">
            <w:pPr>
              <w:jc w:val="both"/>
              <w:rPr>
                <w:rFonts w:ascii="Times New Roman" w:eastAsia="Times New Roman" w:hAnsi="Times New Roman" w:cs="Times New Roman"/>
                <w:color w:val="0D0D0D" w:themeColor="text1" w:themeTint="F2"/>
                <w:lang w:val="en-US" w:eastAsia="ru-RU"/>
              </w:rPr>
            </w:pPr>
            <w:r w:rsidRPr="00AF61A7">
              <w:rPr>
                <w:rFonts w:ascii="Times New Roman" w:eastAsia="Times New Roman" w:hAnsi="Times New Roman" w:cs="Times New Roman"/>
                <w:color w:val="0D0D0D" w:themeColor="text1" w:themeTint="F2"/>
                <w:lang w:val="en-US" w:eastAsia="ru-RU"/>
              </w:rPr>
              <w:t>Services range from export financing and documentary business through international project and investment financing to cross-border liquidity management with payments and cash management products. Not to mention, of course, account management as well as interest and currency hedges. Additionally, you benefit from our cross-border business solutions and therefore always have a trusted partner on your way through Central and Eastern Europe.</w:t>
            </w:r>
          </w:p>
        </w:tc>
        <w:tc>
          <w:tcPr>
            <w:tcW w:w="6237" w:type="dxa"/>
          </w:tcPr>
          <w:p w:rsidR="007D252A" w:rsidRPr="00AF61A7" w:rsidRDefault="007D252A" w:rsidP="00AF61A7">
            <w:pPr>
              <w:pStyle w:val="2"/>
              <w:spacing w:after="200"/>
              <w:rPr>
                <w:rFonts w:ascii="Times New Roman" w:eastAsia="Times New Roman" w:hAnsi="Times New Roman" w:cs="Times New Roman"/>
                <w:b w:val="0"/>
                <w:color w:val="365F91" w:themeColor="accent1" w:themeShade="BF"/>
                <w:sz w:val="22"/>
                <w:szCs w:val="22"/>
                <w:lang w:eastAsia="ru-RU"/>
              </w:rPr>
            </w:pPr>
            <w:r w:rsidRPr="00AF61A7">
              <w:rPr>
                <w:rFonts w:ascii="Times New Roman" w:eastAsia="Times New Roman" w:hAnsi="Times New Roman" w:cs="Times New Roman"/>
                <w:b w:val="0"/>
                <w:color w:val="365F91" w:themeColor="accent1" w:themeShade="BF"/>
                <w:sz w:val="22"/>
                <w:szCs w:val="22"/>
                <w:lang w:eastAsia="ru-RU"/>
              </w:rPr>
              <w:t>Перевод</w:t>
            </w:r>
          </w:p>
          <w:p w:rsidR="007D252A" w:rsidRPr="00AF61A7" w:rsidRDefault="007D252A" w:rsidP="00AF61A7">
            <w:pPr>
              <w:pStyle w:val="2"/>
              <w:spacing w:after="200"/>
              <w:rPr>
                <w:rFonts w:ascii="Times New Roman" w:hAnsi="Times New Roman" w:cs="Times New Roman"/>
                <w:color w:val="365F91" w:themeColor="accent1" w:themeShade="BF"/>
                <w:sz w:val="22"/>
                <w:szCs w:val="22"/>
              </w:rPr>
            </w:pPr>
            <w:r w:rsidRPr="00AF61A7">
              <w:rPr>
                <w:rFonts w:ascii="Times New Roman" w:hAnsi="Times New Roman" w:cs="Times New Roman"/>
                <w:color w:val="365F91" w:themeColor="accent1" w:themeShade="BF"/>
                <w:sz w:val="22"/>
                <w:szCs w:val="22"/>
              </w:rPr>
              <w:t xml:space="preserve">Bank Austria: </w:t>
            </w:r>
            <w:r w:rsidR="00212742" w:rsidRPr="00AF61A7">
              <w:rPr>
                <w:rFonts w:ascii="Times New Roman" w:hAnsi="Times New Roman" w:cs="Times New Roman"/>
                <w:color w:val="365F91" w:themeColor="accent1" w:themeShade="BF"/>
                <w:sz w:val="22"/>
                <w:szCs w:val="22"/>
              </w:rPr>
              <w:t>Банк №1</w:t>
            </w:r>
            <w:r w:rsidRPr="00AF61A7">
              <w:rPr>
                <w:rFonts w:ascii="Times New Roman" w:hAnsi="Times New Roman" w:cs="Times New Roman"/>
                <w:color w:val="365F91" w:themeColor="accent1" w:themeShade="BF"/>
                <w:sz w:val="22"/>
                <w:szCs w:val="22"/>
              </w:rPr>
              <w:t xml:space="preserve"> в Австрии,  Центральной и Восточной Европе </w:t>
            </w:r>
          </w:p>
          <w:p w:rsidR="007D252A" w:rsidRPr="00AF61A7" w:rsidRDefault="007D252A" w:rsidP="00AF61A7">
            <w:pPr>
              <w:jc w:val="both"/>
              <w:outlineLvl w:val="2"/>
              <w:rPr>
                <w:rFonts w:ascii="Times New Roman" w:eastAsia="Times New Roman" w:hAnsi="Times New Roman" w:cs="Times New Roman"/>
                <w:color w:val="0D0D0D" w:themeColor="text1" w:themeTint="F2"/>
                <w:lang w:eastAsia="ru-RU"/>
              </w:rPr>
            </w:pPr>
            <w:r w:rsidRPr="00AF61A7">
              <w:rPr>
                <w:rFonts w:ascii="Times New Roman" w:eastAsia="Times New Roman" w:hAnsi="Times New Roman" w:cs="Times New Roman"/>
                <w:bCs/>
                <w:color w:val="0D0D0D" w:themeColor="text1" w:themeTint="F2"/>
                <w:lang w:val="en-US" w:eastAsia="ru-RU"/>
              </w:rPr>
              <w:t>Bank</w:t>
            </w:r>
            <w:r w:rsidRPr="00AF61A7">
              <w:rPr>
                <w:rFonts w:ascii="Times New Roman" w:eastAsia="Times New Roman" w:hAnsi="Times New Roman" w:cs="Times New Roman"/>
                <w:bCs/>
                <w:color w:val="0D0D0D" w:themeColor="text1" w:themeTint="F2"/>
                <w:lang w:eastAsia="ru-RU"/>
              </w:rPr>
              <w:t xml:space="preserve"> </w:t>
            </w:r>
            <w:r w:rsidRPr="00AF61A7">
              <w:rPr>
                <w:rFonts w:ascii="Times New Roman" w:eastAsia="Times New Roman" w:hAnsi="Times New Roman" w:cs="Times New Roman"/>
                <w:bCs/>
                <w:color w:val="0D0D0D" w:themeColor="text1" w:themeTint="F2"/>
                <w:lang w:val="en-US" w:eastAsia="ru-RU"/>
              </w:rPr>
              <w:t>Austria</w:t>
            </w:r>
            <w:r w:rsidRPr="00AF61A7">
              <w:rPr>
                <w:rFonts w:ascii="Times New Roman" w:eastAsia="Times New Roman" w:hAnsi="Times New Roman" w:cs="Times New Roman"/>
                <w:bCs/>
                <w:color w:val="0D0D0D" w:themeColor="text1" w:themeTint="F2"/>
                <w:lang w:eastAsia="ru-RU"/>
              </w:rPr>
              <w:t xml:space="preserve"> - член крупнейшей Европейской банковской группы </w:t>
            </w:r>
            <w:r w:rsidRPr="00AF61A7">
              <w:rPr>
                <w:rFonts w:ascii="Times New Roman" w:eastAsia="Times New Roman" w:hAnsi="Times New Roman" w:cs="Times New Roman"/>
                <w:color w:val="0D0D0D" w:themeColor="text1" w:themeTint="F2"/>
                <w:lang w:val="en-US" w:eastAsia="ru-RU"/>
              </w:rPr>
              <w:t>UniCredit</w:t>
            </w:r>
            <w:r w:rsidRPr="00AF61A7">
              <w:rPr>
                <w:rFonts w:ascii="Times New Roman" w:eastAsia="Times New Roman" w:hAnsi="Times New Roman" w:cs="Times New Roman"/>
                <w:color w:val="0D0D0D" w:themeColor="text1" w:themeTint="F2"/>
                <w:lang w:eastAsia="ru-RU"/>
              </w:rPr>
              <w:t xml:space="preserve"> с 2005 г. </w:t>
            </w:r>
            <w:r w:rsidRPr="00AF61A7">
              <w:rPr>
                <w:rFonts w:ascii="Times New Roman" w:eastAsia="Times New Roman" w:hAnsi="Times New Roman" w:cs="Times New Roman"/>
                <w:bCs/>
                <w:color w:val="0D0D0D" w:themeColor="text1" w:themeTint="F2"/>
                <w:lang w:eastAsia="ru-RU"/>
              </w:rPr>
              <w:t xml:space="preserve">Уровень собственных средств причисляет его к ведущим банкам Австрии. Коэффициент достаточности </w:t>
            </w:r>
            <w:r w:rsidR="00212742" w:rsidRPr="00AF61A7">
              <w:rPr>
                <w:rFonts w:ascii="Times New Roman" w:eastAsia="Times New Roman" w:hAnsi="Times New Roman" w:cs="Times New Roman"/>
                <w:bCs/>
                <w:color w:val="0D0D0D" w:themeColor="text1" w:themeTint="F2"/>
                <w:lang w:eastAsia="ru-RU"/>
              </w:rPr>
              <w:t xml:space="preserve">его </w:t>
            </w:r>
            <w:r w:rsidRPr="00AF61A7">
              <w:rPr>
                <w:rFonts w:ascii="Times New Roman" w:eastAsia="Times New Roman" w:hAnsi="Times New Roman" w:cs="Times New Roman"/>
                <w:bCs/>
                <w:color w:val="0D0D0D" w:themeColor="text1" w:themeTint="F2"/>
                <w:lang w:eastAsia="ru-RU"/>
              </w:rPr>
              <w:t>акционерного капитала первого уровня (с учетом всех рисков) находился на уровне 11,0 %, а показатель доходнос</w:t>
            </w:r>
            <w:r w:rsidR="00212742" w:rsidRPr="00AF61A7">
              <w:rPr>
                <w:rFonts w:ascii="Times New Roman" w:eastAsia="Times New Roman" w:hAnsi="Times New Roman" w:cs="Times New Roman"/>
                <w:bCs/>
                <w:color w:val="0D0D0D" w:themeColor="text1" w:themeTint="F2"/>
                <w:lang w:eastAsia="ru-RU"/>
              </w:rPr>
              <w:t xml:space="preserve">ти капитала составлял 13,8 % на 30 июня 2014 г. </w:t>
            </w:r>
            <w:r w:rsidRPr="00AF61A7">
              <w:rPr>
                <w:rFonts w:ascii="Times New Roman" w:eastAsia="Times New Roman" w:hAnsi="Times New Roman" w:cs="Times New Roman"/>
                <w:bCs/>
                <w:color w:val="0D0D0D" w:themeColor="text1" w:themeTint="F2"/>
                <w:lang w:eastAsia="ru-RU"/>
              </w:rPr>
              <w:t xml:space="preserve">С этого момента суммарные активы банка составили </w:t>
            </w:r>
            <w:r w:rsidRPr="00AF61A7">
              <w:rPr>
                <w:rFonts w:ascii="Times New Roman" w:eastAsia="Times New Roman" w:hAnsi="Times New Roman" w:cs="Times New Roman"/>
                <w:color w:val="0D0D0D" w:themeColor="text1" w:themeTint="F2"/>
                <w:lang w:eastAsia="ru-RU"/>
              </w:rPr>
              <w:t>€</w:t>
            </w:r>
            <w:r w:rsidRPr="00AF61A7">
              <w:rPr>
                <w:rFonts w:ascii="Times New Roman" w:eastAsia="Times New Roman" w:hAnsi="Times New Roman" w:cs="Times New Roman"/>
                <w:bCs/>
                <w:color w:val="0D0D0D" w:themeColor="text1" w:themeTint="F2"/>
                <w:lang w:eastAsia="ru-RU"/>
              </w:rPr>
              <w:t xml:space="preserve">183.1 млрд. На протяжении 160 лет традиций и опыта </w:t>
            </w:r>
            <w:r w:rsidRPr="00AF61A7">
              <w:rPr>
                <w:rFonts w:ascii="Times New Roman" w:eastAsia="Times New Roman" w:hAnsi="Times New Roman" w:cs="Times New Roman"/>
                <w:bCs/>
                <w:color w:val="0D0D0D" w:themeColor="text1" w:themeTint="F2"/>
                <w:lang w:val="en-US" w:eastAsia="ru-RU"/>
              </w:rPr>
              <w:t>Bank</w:t>
            </w:r>
            <w:r w:rsidRPr="00AF61A7">
              <w:rPr>
                <w:rFonts w:ascii="Times New Roman" w:eastAsia="Times New Roman" w:hAnsi="Times New Roman" w:cs="Times New Roman"/>
                <w:bCs/>
                <w:color w:val="0D0D0D" w:themeColor="text1" w:themeTint="F2"/>
                <w:lang w:eastAsia="ru-RU"/>
              </w:rPr>
              <w:t xml:space="preserve"> </w:t>
            </w:r>
            <w:r w:rsidRPr="00AF61A7">
              <w:rPr>
                <w:rFonts w:ascii="Times New Roman" w:eastAsia="Times New Roman" w:hAnsi="Times New Roman" w:cs="Times New Roman"/>
                <w:bCs/>
                <w:color w:val="0D0D0D" w:themeColor="text1" w:themeTint="F2"/>
                <w:lang w:val="en-US" w:eastAsia="ru-RU"/>
              </w:rPr>
              <w:t>Austria</w:t>
            </w:r>
            <w:r w:rsidRPr="00AF61A7">
              <w:rPr>
                <w:rFonts w:ascii="Times New Roman" w:eastAsia="Times New Roman" w:hAnsi="Times New Roman" w:cs="Times New Roman"/>
                <w:bCs/>
                <w:color w:val="0D0D0D" w:themeColor="text1" w:themeTint="F2"/>
                <w:lang w:eastAsia="ru-RU"/>
              </w:rPr>
              <w:t xml:space="preserve"> непрерывно продолжает поддерживать самый высокий уровень качества обслуживания клиентов. </w:t>
            </w:r>
          </w:p>
          <w:p w:rsidR="007D252A" w:rsidRPr="00AF61A7" w:rsidRDefault="007D252A" w:rsidP="00AF61A7">
            <w:pPr>
              <w:jc w:val="both"/>
              <w:outlineLvl w:val="2"/>
              <w:rPr>
                <w:rFonts w:ascii="Times New Roman" w:eastAsia="Times New Roman" w:hAnsi="Times New Roman" w:cs="Times New Roman"/>
                <w:bCs/>
                <w:color w:val="0D0D0D" w:themeColor="text1" w:themeTint="F2"/>
                <w:lang w:eastAsia="ru-RU"/>
              </w:rPr>
            </w:pPr>
            <w:r w:rsidRPr="00AF61A7">
              <w:rPr>
                <w:rFonts w:ascii="Times New Roman" w:eastAsia="Times New Roman" w:hAnsi="Times New Roman" w:cs="Times New Roman"/>
                <w:bCs/>
                <w:color w:val="0D0D0D" w:themeColor="text1" w:themeTint="F2"/>
                <w:lang w:eastAsia="ru-RU"/>
              </w:rPr>
              <w:t xml:space="preserve">Обширная банковская сеть в Австрии насчитывает около 7,000 сотрудников, и обслуживает клиентов приблизительно в 250 отделениях. Во время финансового и экономического кризиса </w:t>
            </w:r>
            <w:r w:rsidRPr="00AF61A7">
              <w:rPr>
                <w:rFonts w:ascii="Times New Roman" w:eastAsia="Times New Roman" w:hAnsi="Times New Roman" w:cs="Times New Roman"/>
                <w:bCs/>
                <w:color w:val="0D0D0D" w:themeColor="text1" w:themeTint="F2"/>
                <w:lang w:val="en-US" w:eastAsia="ru-RU"/>
              </w:rPr>
              <w:t>Bank</w:t>
            </w:r>
            <w:r w:rsidRPr="00AF61A7">
              <w:rPr>
                <w:rFonts w:ascii="Times New Roman" w:eastAsia="Times New Roman" w:hAnsi="Times New Roman" w:cs="Times New Roman"/>
                <w:bCs/>
                <w:color w:val="0D0D0D" w:themeColor="text1" w:themeTint="F2"/>
                <w:lang w:eastAsia="ru-RU"/>
              </w:rPr>
              <w:t xml:space="preserve"> </w:t>
            </w:r>
            <w:r w:rsidRPr="00AF61A7">
              <w:rPr>
                <w:rFonts w:ascii="Times New Roman" w:eastAsia="Times New Roman" w:hAnsi="Times New Roman" w:cs="Times New Roman"/>
                <w:bCs/>
                <w:color w:val="0D0D0D" w:themeColor="text1" w:themeTint="F2"/>
                <w:lang w:val="en-US" w:eastAsia="ru-RU"/>
              </w:rPr>
              <w:t>Austria</w:t>
            </w:r>
            <w:r w:rsidRPr="00AF61A7">
              <w:rPr>
                <w:rFonts w:ascii="Times New Roman" w:eastAsia="Times New Roman" w:hAnsi="Times New Roman" w:cs="Times New Roman"/>
                <w:bCs/>
                <w:color w:val="0D0D0D" w:themeColor="text1" w:themeTint="F2"/>
                <w:lang w:eastAsia="ru-RU"/>
              </w:rPr>
              <w:t xml:space="preserve"> продемонстрировал свой финансовый потенциал: это был единственный крупнейший банк в Австрии, который не воспользовался государственной помощью для поддержки своего капитала.</w:t>
            </w:r>
            <w:r w:rsidR="00AF61A7" w:rsidRPr="00AF61A7">
              <w:rPr>
                <w:rFonts w:ascii="Times New Roman" w:eastAsia="Times New Roman" w:hAnsi="Times New Roman" w:cs="Times New Roman"/>
                <w:bCs/>
                <w:color w:val="0D0D0D" w:themeColor="text1" w:themeTint="F2"/>
                <w:lang w:eastAsia="ru-RU"/>
              </w:rPr>
              <w:t xml:space="preserve"> </w:t>
            </w:r>
            <w:r w:rsidRPr="00AF61A7">
              <w:rPr>
                <w:rFonts w:ascii="Times New Roman" w:eastAsia="Times New Roman" w:hAnsi="Times New Roman" w:cs="Times New Roman"/>
                <w:bCs/>
                <w:color w:val="0D0D0D" w:themeColor="text1" w:themeTint="F2"/>
                <w:lang w:eastAsia="ru-RU"/>
              </w:rPr>
              <w:t>Банк Австрия сегодня – динамичный универсальный банк, предлагающий своим клиентам доступ к международным финансовым рынкам. Банк концентрирует услуги банковской сети UniCredit в Центральной и Восточной Европе, в регионе, где Группа является очевидным лидером рынка, насчитывая приблизительно 2,500 отделений в 13 странах.</w:t>
            </w:r>
          </w:p>
          <w:p w:rsidR="00AF61A7" w:rsidRPr="00AF61A7" w:rsidRDefault="00AF61A7" w:rsidP="00AF61A7">
            <w:pPr>
              <w:pStyle w:val="2"/>
              <w:spacing w:before="0" w:after="200"/>
              <w:rPr>
                <w:rFonts w:ascii="Times New Roman" w:hAnsi="Times New Roman" w:cs="Times New Roman"/>
                <w:sz w:val="22"/>
                <w:szCs w:val="22"/>
              </w:rPr>
            </w:pPr>
            <w:r w:rsidRPr="00AF61A7">
              <w:rPr>
                <w:rFonts w:ascii="Times New Roman" w:hAnsi="Times New Roman" w:cs="Times New Roman"/>
                <w:sz w:val="22"/>
                <w:szCs w:val="22"/>
              </w:rPr>
              <w:t>Международный бизнес</w:t>
            </w:r>
          </w:p>
          <w:p w:rsidR="00AF61A7" w:rsidRPr="00AF61A7" w:rsidRDefault="00AF61A7" w:rsidP="00AF61A7">
            <w:pPr>
              <w:jc w:val="both"/>
              <w:outlineLvl w:val="2"/>
              <w:rPr>
                <w:rFonts w:ascii="Times New Roman" w:eastAsia="Times New Roman" w:hAnsi="Times New Roman" w:cs="Times New Roman"/>
                <w:bCs/>
                <w:color w:val="0D0D0D" w:themeColor="text1" w:themeTint="F2"/>
                <w:lang w:eastAsia="ru-RU"/>
              </w:rPr>
            </w:pPr>
            <w:r w:rsidRPr="00AF61A7">
              <w:rPr>
                <w:rFonts w:ascii="Times New Roman" w:eastAsia="Times New Roman" w:hAnsi="Times New Roman" w:cs="Times New Roman"/>
                <w:bCs/>
                <w:color w:val="0D0D0D" w:themeColor="text1" w:themeTint="F2"/>
                <w:lang w:eastAsia="ru-RU"/>
              </w:rPr>
              <w:t xml:space="preserve">Любому, кто желает быть успешным в бизнесе, нужен партнер, знающий свой путь в финансовых лабиринтах. </w:t>
            </w:r>
            <w:r w:rsidRPr="00AF61A7">
              <w:rPr>
                <w:rFonts w:ascii="Times New Roman" w:eastAsia="Times New Roman" w:hAnsi="Times New Roman" w:cs="Times New Roman"/>
                <w:color w:val="0D0D0D" w:themeColor="text1" w:themeTint="F2"/>
                <w:lang w:eastAsia="ru-RU"/>
              </w:rPr>
              <w:t xml:space="preserve">Bank Austria </w:t>
            </w:r>
            <w:r w:rsidRPr="00AF61A7">
              <w:rPr>
                <w:rFonts w:ascii="Times New Roman" w:eastAsia="Times New Roman" w:hAnsi="Times New Roman" w:cs="Times New Roman"/>
                <w:bCs/>
                <w:color w:val="0D0D0D" w:themeColor="text1" w:themeTint="F2"/>
                <w:lang w:eastAsia="ru-RU"/>
              </w:rPr>
              <w:t>является ведущим банком в построении международного бизнеса. Наши клиенты получают преимущество, пользуясь знаниями наших технологий, инновационным пакетом продуктов и услуг, а также самой плотной банковской сетью в Центральной и Восточной Европе.</w:t>
            </w:r>
            <w:r w:rsidRPr="00AF61A7">
              <w:rPr>
                <w:rFonts w:ascii="Times New Roman" w:eastAsia="Times New Roman" w:hAnsi="Times New Roman" w:cs="Times New Roman"/>
                <w:bCs/>
                <w:color w:val="0D0D0D" w:themeColor="text1" w:themeTint="F2"/>
                <w:lang w:eastAsia="ru-RU"/>
              </w:rPr>
              <w:t xml:space="preserve"> </w:t>
            </w:r>
            <w:r w:rsidRPr="00AF61A7">
              <w:rPr>
                <w:rFonts w:ascii="Times New Roman" w:eastAsia="Times New Roman" w:hAnsi="Times New Roman" w:cs="Times New Roman"/>
                <w:bCs/>
                <w:color w:val="0D0D0D" w:themeColor="text1" w:themeTint="F2"/>
                <w:lang w:eastAsia="ru-RU"/>
              </w:rPr>
              <w:t xml:space="preserve">В UniCredit мы предлагаем нашим клиентам крупнейшую сеть в Европе, насчитывающую более чем 8,950 отделений в 17 странах. </w:t>
            </w:r>
          </w:p>
          <w:p w:rsidR="00AF61A7" w:rsidRPr="00AF61A7" w:rsidRDefault="00AF61A7" w:rsidP="00AF61A7">
            <w:pPr>
              <w:pStyle w:val="2"/>
              <w:spacing w:before="0" w:after="200"/>
              <w:jc w:val="both"/>
              <w:rPr>
                <w:rFonts w:ascii="Times New Roman" w:hAnsi="Times New Roman" w:cs="Times New Roman"/>
                <w:sz w:val="22"/>
                <w:szCs w:val="22"/>
              </w:rPr>
            </w:pPr>
            <w:r w:rsidRPr="00AF61A7">
              <w:rPr>
                <w:rFonts w:ascii="Times New Roman" w:hAnsi="Times New Roman" w:cs="Times New Roman"/>
                <w:sz w:val="22"/>
                <w:szCs w:val="22"/>
              </w:rPr>
              <w:t xml:space="preserve">Полный комплект услуг </w:t>
            </w:r>
          </w:p>
          <w:p w:rsidR="007D252A" w:rsidRPr="00AF61A7" w:rsidRDefault="00AF61A7" w:rsidP="00AF61A7">
            <w:pPr>
              <w:jc w:val="both"/>
              <w:outlineLvl w:val="2"/>
              <w:rPr>
                <w:rFonts w:ascii="Times New Roman" w:eastAsia="Times New Roman" w:hAnsi="Times New Roman" w:cs="Times New Roman"/>
                <w:bCs/>
                <w:color w:val="0D0D0D" w:themeColor="text1" w:themeTint="F2"/>
                <w:lang w:val="en-US" w:eastAsia="ru-RU"/>
              </w:rPr>
            </w:pPr>
            <w:r w:rsidRPr="00AF61A7">
              <w:rPr>
                <w:rFonts w:ascii="Times New Roman" w:eastAsia="Times New Roman" w:hAnsi="Times New Roman" w:cs="Times New Roman"/>
                <w:bCs/>
                <w:color w:val="0D0D0D" w:themeColor="text1" w:themeTint="F2"/>
                <w:lang w:eastAsia="ru-RU"/>
              </w:rPr>
              <w:t xml:space="preserve">Услуги варьируются от экспортного финансирования и ведения документооборота по международным проектам и инвестициям до международного администрирования ликвидностью, включая платежи и услуги по управлению наличностью. Не говоря уже о ведении счетов, учете интереса, а также преодолении преград по курсовой разнице. Дополнительно вы извлекаете выгоду из наших международных бизнес связей. И, на своем пути через Центральную и Восточную Европу вы всегда будете иметь надежного партнера. </w:t>
            </w:r>
          </w:p>
        </w:tc>
      </w:tr>
    </w:tbl>
    <w:p w:rsidR="00322AAB" w:rsidRPr="00AF61A7" w:rsidRDefault="00322AAB" w:rsidP="00AF61A7">
      <w:pPr>
        <w:rPr>
          <w:lang w:val="en-US"/>
        </w:rPr>
      </w:pPr>
    </w:p>
    <w:sectPr w:rsidR="00322AAB" w:rsidRPr="00AF61A7" w:rsidSect="00AF61A7">
      <w:pgSz w:w="11906" w:h="16838"/>
      <w:pgMar w:top="397" w:right="454" w:bottom="414" w:left="45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9D0" w:rsidRDefault="009D49D0" w:rsidP="007D252A">
      <w:pPr>
        <w:spacing w:after="0" w:line="240" w:lineRule="auto"/>
      </w:pPr>
      <w:r>
        <w:separator/>
      </w:r>
    </w:p>
  </w:endnote>
  <w:endnote w:type="continuationSeparator" w:id="0">
    <w:p w:rsidR="009D49D0" w:rsidRDefault="009D49D0" w:rsidP="007D25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9D0" w:rsidRDefault="009D49D0" w:rsidP="007D252A">
      <w:pPr>
        <w:spacing w:after="0" w:line="240" w:lineRule="auto"/>
      </w:pPr>
      <w:r>
        <w:separator/>
      </w:r>
    </w:p>
  </w:footnote>
  <w:footnote w:type="continuationSeparator" w:id="0">
    <w:p w:rsidR="009D49D0" w:rsidRDefault="009D49D0" w:rsidP="007D252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D252A"/>
    <w:rsid w:val="000D65F1"/>
    <w:rsid w:val="00167D60"/>
    <w:rsid w:val="00212742"/>
    <w:rsid w:val="00322AAB"/>
    <w:rsid w:val="003F1BB9"/>
    <w:rsid w:val="004E3C8A"/>
    <w:rsid w:val="004F232B"/>
    <w:rsid w:val="00650EC9"/>
    <w:rsid w:val="006727B8"/>
    <w:rsid w:val="007D252A"/>
    <w:rsid w:val="00827F05"/>
    <w:rsid w:val="00892330"/>
    <w:rsid w:val="008E76F2"/>
    <w:rsid w:val="00985BB1"/>
    <w:rsid w:val="009D49D0"/>
    <w:rsid w:val="00A6727F"/>
    <w:rsid w:val="00A72450"/>
    <w:rsid w:val="00AF61A7"/>
    <w:rsid w:val="00F37D52"/>
    <w:rsid w:val="00FA2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52A"/>
  </w:style>
  <w:style w:type="paragraph" w:styleId="2">
    <w:name w:val="heading 2"/>
    <w:basedOn w:val="a"/>
    <w:next w:val="a"/>
    <w:link w:val="20"/>
    <w:uiPriority w:val="9"/>
    <w:unhideWhenUsed/>
    <w:qFormat/>
    <w:rsid w:val="007D25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D252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D252A"/>
  </w:style>
  <w:style w:type="paragraph" w:styleId="a5">
    <w:name w:val="footer"/>
    <w:basedOn w:val="a"/>
    <w:link w:val="a6"/>
    <w:uiPriority w:val="99"/>
    <w:semiHidden/>
    <w:unhideWhenUsed/>
    <w:rsid w:val="007D252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D252A"/>
  </w:style>
  <w:style w:type="character" w:customStyle="1" w:styleId="20">
    <w:name w:val="Заголовок 2 Знак"/>
    <w:basedOn w:val="a0"/>
    <w:link w:val="2"/>
    <w:uiPriority w:val="9"/>
    <w:rsid w:val="007D252A"/>
    <w:rPr>
      <w:rFonts w:asciiTheme="majorHAnsi" w:eastAsiaTheme="majorEastAsia" w:hAnsiTheme="majorHAnsi" w:cstheme="majorBidi"/>
      <w:b/>
      <w:bCs/>
      <w:color w:val="4F81BD" w:themeColor="accent1"/>
      <w:sz w:val="26"/>
      <w:szCs w:val="26"/>
    </w:rPr>
  </w:style>
  <w:style w:type="character" w:styleId="a7">
    <w:name w:val="Hyperlink"/>
    <w:basedOn w:val="a0"/>
    <w:uiPriority w:val="99"/>
    <w:unhideWhenUsed/>
    <w:rsid w:val="007D252A"/>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nkaustria.a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2015-02-07T04:36:00Z</dcterms:created>
  <dcterms:modified xsi:type="dcterms:W3CDTF">2015-02-07T04:36:00Z</dcterms:modified>
</cp:coreProperties>
</file>